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766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Борисовой Натальи Юрьевны, </w:t>
      </w:r>
      <w:r>
        <w:rPr>
          <w:rStyle w:val="cat-ExternalSystemDefinedgrp-4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работающей директором ООО «Гринфуд», зарегистрированной и проживающей по адресу: </w:t>
      </w:r>
      <w:r>
        <w:rPr>
          <w:rStyle w:val="cat-UserDefinedgrp-4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Борисова </w:t>
      </w:r>
      <w:r>
        <w:rPr>
          <w:rFonts w:ascii="Times New Roman" w:eastAsia="Times New Roman" w:hAnsi="Times New Roman" w:cs="Times New Roman"/>
          <w:sz w:val="26"/>
          <w:szCs w:val="26"/>
        </w:rPr>
        <w:t>Н.Ю., являясь директором ООО «Гринфуд», зарегистрированного по адресу: ХМАО-Югра, г. Нефтеюганск, 11 мкр., д. 79, кв. 11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Борисов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Н.Ю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Борисова Н.Ю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Борисовой Н.Ю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«Гринфуд» Борисовну Наталью Юрьевну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7rplc-45">
    <w:name w:val="cat-UserDefined grp-47 rplc-45"/>
    <w:basedOn w:val="DefaultParagraphFont"/>
  </w:style>
  <w:style w:type="character" w:customStyle="1" w:styleId="cat-UserDefinedgrp-48rplc-48">
    <w:name w:val="cat-UserDefined grp-4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